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66" w:rsidRPr="00D07E6C" w:rsidRDefault="00AD0066" w:rsidP="00AD0066">
      <w:pPr>
        <w:pStyle w:val="Titre5"/>
        <w:jc w:val="center"/>
        <w:rPr>
          <w:rFonts w:ascii="Times New Roman" w:hAnsi="Times New Roman"/>
          <w:sz w:val="28"/>
          <w:szCs w:val="28"/>
        </w:rPr>
      </w:pPr>
      <w:r w:rsidRPr="00D07E6C">
        <w:rPr>
          <w:rFonts w:ascii="Times New Roman" w:hAnsi="Times New Roman"/>
          <w:sz w:val="28"/>
          <w:szCs w:val="28"/>
        </w:rPr>
        <w:t xml:space="preserve">Les origines et la conception de la recherche « fondamentale » </w:t>
      </w:r>
    </w:p>
    <w:p w:rsidR="00AD0066" w:rsidRPr="00D07E6C" w:rsidRDefault="00AD0066" w:rsidP="00AD0066">
      <w:pPr>
        <w:pStyle w:val="Titre5"/>
        <w:jc w:val="center"/>
        <w:rPr>
          <w:rFonts w:ascii="Times New Roman" w:hAnsi="Times New Roman"/>
          <w:sz w:val="28"/>
          <w:szCs w:val="28"/>
        </w:rPr>
      </w:pPr>
      <w:proofErr w:type="gramStart"/>
      <w:r w:rsidRPr="00D07E6C">
        <w:rPr>
          <w:rFonts w:ascii="Times New Roman" w:hAnsi="Times New Roman"/>
          <w:sz w:val="28"/>
          <w:szCs w:val="28"/>
        </w:rPr>
        <w:t>en</w:t>
      </w:r>
      <w:proofErr w:type="gramEnd"/>
      <w:r w:rsidRPr="00D07E6C">
        <w:rPr>
          <w:rFonts w:ascii="Times New Roman" w:hAnsi="Times New Roman"/>
          <w:sz w:val="28"/>
          <w:szCs w:val="28"/>
        </w:rPr>
        <w:t xml:space="preserve"> Didactique de la </w:t>
      </w:r>
      <w:r>
        <w:rPr>
          <w:rFonts w:ascii="Times New Roman" w:hAnsi="Times New Roman"/>
          <w:sz w:val="28"/>
          <w:szCs w:val="28"/>
        </w:rPr>
        <w:t>S</w:t>
      </w:r>
      <w:r w:rsidRPr="00D07E6C">
        <w:rPr>
          <w:rFonts w:ascii="Times New Roman" w:hAnsi="Times New Roman"/>
          <w:sz w:val="28"/>
          <w:szCs w:val="28"/>
        </w:rPr>
        <w:t>tatistique</w:t>
      </w:r>
    </w:p>
    <w:p w:rsidR="00AD0066" w:rsidRPr="00511689" w:rsidRDefault="00AD0066" w:rsidP="00AD0066"/>
    <w:p w:rsidR="00AD0066" w:rsidRPr="00D67816" w:rsidRDefault="00AD0066" w:rsidP="00AD0066">
      <w:pPr>
        <w:pStyle w:val="Sous-titre"/>
        <w:rPr>
          <w:b/>
          <w:sz w:val="20"/>
          <w:szCs w:val="20"/>
        </w:rPr>
      </w:pPr>
      <w:r w:rsidRPr="00D67816">
        <w:rPr>
          <w:b/>
          <w:sz w:val="20"/>
          <w:szCs w:val="20"/>
        </w:rPr>
        <w:t>Motivations de l’ouvrage Fiches de statistiques non paramétriques pour la didactique</w:t>
      </w:r>
    </w:p>
    <w:p w:rsidR="00AD0066" w:rsidRPr="00D67816" w:rsidRDefault="00AD0066" w:rsidP="00AD0066">
      <w:pPr>
        <w:pStyle w:val="Sous-titre"/>
      </w:pPr>
      <w:proofErr w:type="gramStart"/>
      <w:r w:rsidRPr="00D67816">
        <w:rPr>
          <w:b/>
          <w:sz w:val="20"/>
          <w:szCs w:val="20"/>
        </w:rPr>
        <w:t>et</w:t>
      </w:r>
      <w:proofErr w:type="gramEnd"/>
      <w:r w:rsidRPr="00D67816">
        <w:rPr>
          <w:b/>
          <w:sz w:val="20"/>
          <w:szCs w:val="20"/>
        </w:rPr>
        <w:t xml:space="preserve"> de ses rééditions</w:t>
      </w:r>
    </w:p>
    <w:p w:rsidR="00AD0066" w:rsidRDefault="00AD0066" w:rsidP="00AD0066">
      <w:pPr>
        <w:jc w:val="both"/>
        <w:rPr>
          <w:rFonts w:ascii="Times New Roman" w:hAnsi="Times New Roman"/>
          <w:sz w:val="24"/>
          <w:szCs w:val="24"/>
        </w:rPr>
      </w:pPr>
    </w:p>
    <w:p w:rsidR="00AD0066" w:rsidRDefault="00AD0066" w:rsidP="00AD0066">
      <w:pPr>
        <w:jc w:val="both"/>
        <w:rPr>
          <w:rFonts w:ascii="Times New Roman" w:hAnsi="Times New Roman"/>
          <w:sz w:val="24"/>
          <w:szCs w:val="24"/>
        </w:rPr>
      </w:pPr>
    </w:p>
    <w:p w:rsidR="00AD0066" w:rsidRPr="00D07E6C" w:rsidRDefault="00AD0066" w:rsidP="00AD0066">
      <w:pPr>
        <w:jc w:val="both"/>
        <w:rPr>
          <w:rFonts w:ascii="Times New Roman" w:hAnsi="Times New Roman"/>
          <w:sz w:val="24"/>
          <w:szCs w:val="24"/>
        </w:rPr>
      </w:pPr>
      <w:r w:rsidRPr="00D67816">
        <w:rPr>
          <w:rFonts w:ascii="Times New Roman" w:hAnsi="Times New Roman"/>
          <w:sz w:val="24"/>
          <w:szCs w:val="24"/>
        </w:rPr>
        <w:t>Au début des années 70, il</w:t>
      </w:r>
      <w:r w:rsidRPr="00D07E6C">
        <w:rPr>
          <w:rFonts w:ascii="Times New Roman" w:hAnsi="Times New Roman"/>
          <w:sz w:val="24"/>
          <w:szCs w:val="24"/>
        </w:rPr>
        <w:t xml:space="preserve"> existait de nombreuses voies possibles pour introduire aux différents niveaux d’enseignement les connaissances de Statistique indispensables au citoyen. Plusieurs équipes de l’IREM de Bordeaux étudiaient ce problème aux faces multiples. En particulier nous avions montré que dès l’école primaire, une expérience collective de nature statistique pouvait conduire les élèves à concevoir et à pratiquer </w:t>
      </w:r>
      <w:r w:rsidRPr="00D07E6C">
        <w:rPr>
          <w:rFonts w:ascii="Times New Roman" w:hAnsi="Times New Roman"/>
          <w:i/>
          <w:sz w:val="24"/>
          <w:szCs w:val="24"/>
        </w:rPr>
        <w:t xml:space="preserve">le test d’hypothèse </w:t>
      </w:r>
      <w:r w:rsidRPr="00D07E6C">
        <w:rPr>
          <w:rFonts w:ascii="Times New Roman" w:hAnsi="Times New Roman"/>
          <w:sz w:val="24"/>
          <w:szCs w:val="24"/>
        </w:rPr>
        <w:t xml:space="preserve">et le calcul des </w:t>
      </w:r>
      <w:r w:rsidRPr="00D07E6C">
        <w:rPr>
          <w:rFonts w:ascii="Times New Roman" w:hAnsi="Times New Roman"/>
          <w:i/>
          <w:sz w:val="24"/>
          <w:szCs w:val="24"/>
        </w:rPr>
        <w:t>mesures d’événements</w:t>
      </w:r>
      <w:r w:rsidRPr="00D07E6C">
        <w:rPr>
          <w:rFonts w:ascii="Times New Roman" w:hAnsi="Times New Roman"/>
          <w:sz w:val="24"/>
          <w:szCs w:val="24"/>
        </w:rPr>
        <w:t xml:space="preserve"> (</w:t>
      </w:r>
      <w:proofErr w:type="spellStart"/>
      <w:r w:rsidRPr="00D07E6C">
        <w:rPr>
          <w:rFonts w:ascii="Times New Roman" w:hAnsi="Times New Roman"/>
          <w:sz w:val="24"/>
          <w:szCs w:val="24"/>
        </w:rPr>
        <w:t>c.a.d</w:t>
      </w:r>
      <w:proofErr w:type="spellEnd"/>
      <w:r w:rsidRPr="00D07E6C">
        <w:rPr>
          <w:rFonts w:ascii="Times New Roman" w:hAnsi="Times New Roman"/>
          <w:sz w:val="24"/>
          <w:szCs w:val="24"/>
        </w:rPr>
        <w:t>. des probabilités) avec seulement des raisonnements « déterministes » et sans faire appel aux notions de hasard ni de probabilités.  L’expérience  « </w:t>
      </w:r>
      <w:r w:rsidRPr="00550987">
        <w:rPr>
          <w:rFonts w:ascii="Times New Roman" w:hAnsi="Times New Roman"/>
          <w:sz w:val="24"/>
          <w:szCs w:val="24"/>
        </w:rPr>
        <w:t>combien de jetons dans ce sac</w:t>
      </w:r>
      <w:r w:rsidRPr="00D07E6C">
        <w:rPr>
          <w:rFonts w:ascii="Times New Roman" w:hAnsi="Times New Roman"/>
          <w:sz w:val="24"/>
          <w:szCs w:val="24"/>
        </w:rPr>
        <w:t> ?</w:t>
      </w:r>
      <w:r>
        <w:rPr>
          <w:rFonts w:ascii="Times New Roman" w:hAnsi="Times New Roman"/>
          <w:sz w:val="24"/>
          <w:szCs w:val="24"/>
        </w:rPr>
        <w:t xml:space="preserve"> </w:t>
      </w:r>
      <w:r w:rsidRPr="00D07E6C">
        <w:rPr>
          <w:rFonts w:ascii="Times New Roman" w:hAnsi="Times New Roman"/>
          <w:sz w:val="24"/>
          <w:szCs w:val="24"/>
        </w:rPr>
        <w:t>»</w:t>
      </w:r>
      <w:r>
        <w:rPr>
          <w:rFonts w:ascii="Times New Roman" w:hAnsi="Times New Roman"/>
          <w:sz w:val="24"/>
          <w:szCs w:val="24"/>
        </w:rPr>
        <w:t xml:space="preserve"> </w:t>
      </w:r>
      <w:r w:rsidRPr="00550987">
        <w:rPr>
          <w:rFonts w:ascii="Times New Roman" w:hAnsi="Times New Roman"/>
          <w:sz w:val="24"/>
          <w:szCs w:val="24"/>
        </w:rPr>
        <w:t>(</w:t>
      </w:r>
      <w:proofErr w:type="gramStart"/>
      <w:r w:rsidRPr="00550987">
        <w:rPr>
          <w:rFonts w:ascii="Times New Roman" w:hAnsi="Times New Roman"/>
          <w:sz w:val="24"/>
          <w:szCs w:val="24"/>
        </w:rPr>
        <w:t>première</w:t>
      </w:r>
      <w:proofErr w:type="gramEnd"/>
      <w:r w:rsidRPr="00550987">
        <w:rPr>
          <w:rFonts w:ascii="Times New Roman" w:hAnsi="Times New Roman"/>
          <w:sz w:val="24"/>
          <w:szCs w:val="24"/>
        </w:rPr>
        <w:t xml:space="preserve"> version de l’expérience de la bouteille</w:t>
      </w:r>
      <w:r>
        <w:rPr>
          <w:rStyle w:val="Appelnotedebasdep"/>
          <w:rFonts w:ascii="Times New Roman" w:hAnsi="Times New Roman"/>
          <w:sz w:val="24"/>
          <w:szCs w:val="24"/>
        </w:rPr>
        <w:footnoteReference w:id="1"/>
      </w:r>
      <w:r w:rsidRPr="00550987">
        <w:rPr>
          <w:rFonts w:ascii="Times New Roman" w:hAnsi="Times New Roman"/>
          <w:sz w:val="24"/>
          <w:szCs w:val="24"/>
        </w:rPr>
        <w:t>)</w:t>
      </w:r>
      <w:r w:rsidRPr="00D07E6C">
        <w:rPr>
          <w:rFonts w:ascii="Times New Roman" w:hAnsi="Times New Roman"/>
          <w:sz w:val="24"/>
          <w:szCs w:val="24"/>
        </w:rPr>
        <w:t xml:space="preserve"> nous a  montré comment une seule situation fondamentale pouvait conduire des élèves à calculer les mesures d’événements aléatoires et leur fiabilité à l’aide de tests d’hypothèses.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Cependant cette voie très originale par ses fondements épistémologiques, par son cadre didactique théorique et par la complexité de sa gestion pédagogique et psychologique avait peu de chance d’être acceptée par les professeurs du secondaire, et surtout utilisée par les enseignants du primaire et du collège.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Le problème de former des étudiants en Didactique à la statistique était tout différent. Même s’ils étaient capables de comprendre les calculs nécessaires (g</w:t>
      </w:r>
      <w:r>
        <w:rPr>
          <w:rFonts w:ascii="Times New Roman" w:hAnsi="Times New Roman"/>
          <w:sz w:val="24"/>
          <w:szCs w:val="24"/>
        </w:rPr>
        <w:t>râ</w:t>
      </w:r>
      <w:r w:rsidRPr="00D07E6C">
        <w:rPr>
          <w:rFonts w:ascii="Times New Roman" w:hAnsi="Times New Roman"/>
          <w:sz w:val="24"/>
          <w:szCs w:val="24"/>
        </w:rPr>
        <w:t xml:space="preserve">ce à des métaphores mécaniques ou combinatoires et probabilistes), ils répugnaient à les utiliser au cours de leurs recherches. Ils tendaient à préférer, à la fin du travail théorique, des analyses énormes et sophistiquées  qu’ils croyaient facilement être </w:t>
      </w:r>
      <w:proofErr w:type="gramStart"/>
      <w:r w:rsidRPr="00D07E6C">
        <w:rPr>
          <w:rFonts w:ascii="Times New Roman" w:hAnsi="Times New Roman"/>
          <w:sz w:val="24"/>
          <w:szCs w:val="24"/>
        </w:rPr>
        <w:t>décisives</w:t>
      </w:r>
      <w:proofErr w:type="gramEnd"/>
      <w:r w:rsidRPr="00D07E6C">
        <w:rPr>
          <w:rFonts w:ascii="Times New Roman" w:hAnsi="Times New Roman"/>
          <w:sz w:val="24"/>
          <w:szCs w:val="24"/>
        </w:rPr>
        <w:t xml:space="preserve">.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Nos orientations théoriques nous ont portés à chercher quelles situations pourraient conduire les enseignants – et les étudiants en Didactique - à utiliser et ainsi à apprendre la statistique dans leurs pratiques professionnelles respectives.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Les rapports avec le COREM, tel qu’il était conçu, ont fourni cette situation.  </w:t>
      </w:r>
    </w:p>
    <w:p w:rsidR="00AD0066" w:rsidRPr="00D07E6C" w:rsidRDefault="00AD0066" w:rsidP="00AD0066">
      <w:pPr>
        <w:jc w:val="both"/>
        <w:rPr>
          <w:rFonts w:ascii="Times New Roman" w:hAnsi="Times New Roman"/>
          <w:sz w:val="24"/>
          <w:szCs w:val="24"/>
        </w:rPr>
      </w:pPr>
    </w:p>
    <w:p w:rsidR="00AD0066" w:rsidRDefault="00AD0066" w:rsidP="00AD0066">
      <w:pPr>
        <w:pStyle w:val="Titre5"/>
        <w:jc w:val="both"/>
        <w:rPr>
          <w:rFonts w:ascii="Times New Roman" w:hAnsi="Times New Roman"/>
          <w:sz w:val="24"/>
          <w:szCs w:val="24"/>
        </w:rPr>
      </w:pPr>
      <w:r w:rsidRPr="00D07E6C">
        <w:rPr>
          <w:rFonts w:ascii="Times New Roman" w:hAnsi="Times New Roman"/>
          <w:sz w:val="24"/>
          <w:szCs w:val="24"/>
        </w:rPr>
        <w:t xml:space="preserve">L’utilisation pour la formation des chercheurs et des enseignants : </w:t>
      </w:r>
    </w:p>
    <w:p w:rsidR="00AD0066" w:rsidRPr="00D07E6C" w:rsidRDefault="00AD0066" w:rsidP="00AD0066">
      <w:pPr>
        <w:pStyle w:val="Titre5"/>
        <w:jc w:val="both"/>
        <w:rPr>
          <w:rFonts w:ascii="Times New Roman" w:hAnsi="Times New Roman"/>
          <w:sz w:val="24"/>
          <w:szCs w:val="24"/>
        </w:rPr>
      </w:pPr>
      <w:proofErr w:type="gramStart"/>
      <w:r w:rsidRPr="00D07E6C">
        <w:rPr>
          <w:rFonts w:ascii="Times New Roman" w:hAnsi="Times New Roman"/>
          <w:sz w:val="24"/>
          <w:szCs w:val="24"/>
        </w:rPr>
        <w:t>l</w:t>
      </w:r>
      <w:proofErr w:type="gramEnd"/>
      <w:r w:rsidRPr="00D07E6C">
        <w:rPr>
          <w:rFonts w:ascii="Times New Roman" w:hAnsi="Times New Roman"/>
          <w:sz w:val="24"/>
          <w:szCs w:val="24"/>
        </w:rPr>
        <w:t>’« édition » de 1976</w:t>
      </w:r>
    </w:p>
    <w:p w:rsidR="00AD0066" w:rsidRPr="00D07E6C" w:rsidRDefault="00AD0066" w:rsidP="00AD0066">
      <w:pPr>
        <w:pStyle w:val="Retraitnormal"/>
        <w:jc w:val="both"/>
        <w:rPr>
          <w:rFonts w:ascii="Times New Roman" w:hAnsi="Times New Roman"/>
          <w:sz w:val="24"/>
          <w:szCs w:val="24"/>
        </w:rPr>
      </w:pP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J’ai illustré chaque fiche par des exemples d’études centrées d’avantage sur des questions d’enseignement et de Didactique, que seulement sur des comportements supposés généraux des élèves.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Les fiches sont réunies en un fascicule édité par l’IREM dès février 76.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Il s’agissait donc surtout d’inciter les chercheurs à fréquenter le COREM, à y observer des évènements didactiques et à se poser des questions auxquelles on pouvait tenter de répondre par des procédés statistiques appropriés aux effectifs de deux classes d’un même niveau. Ces calculs devaient être faits banalement et ouvertement, devant et avec les acteurs, les participants et les observateurs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Il ne s’agissait pas d’</w:t>
      </w:r>
      <w:r w:rsidRPr="00D07E6C">
        <w:rPr>
          <w:rFonts w:ascii="Times New Roman" w:hAnsi="Times New Roman"/>
          <w:i/>
          <w:sz w:val="24"/>
          <w:szCs w:val="24"/>
        </w:rPr>
        <w:t>utiliser</w:t>
      </w:r>
      <w:r w:rsidRPr="00D07E6C">
        <w:rPr>
          <w:rFonts w:ascii="Times New Roman" w:hAnsi="Times New Roman"/>
          <w:sz w:val="24"/>
          <w:szCs w:val="24"/>
        </w:rPr>
        <w:t xml:space="preserve">  une « méthode » qui répondrait directement à une démarche purement théorique et qui établirait, d’un coup, la validité empirique et définitive d’une assertion révolutionnaire… ! Il s’agissait au contraire de prendre l’habitude :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lastRenderedPageBreak/>
        <w:t>d’interroger familièrement la contingence, au fil d’intuitions ou de raisonnements nés au cours d’observations régulières et des discussions théoriques…</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 xml:space="preserve">d’envisager des hypothèses et afin de les évaluer, de recueillir précieusement ces indices pour affiner la compréhension des événements observés, choisir des indices plus judicieux…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 xml:space="preserve">Il était stimulant de chercher des explications aux phénomènes révélés par une observation. Il était instructif de constater que sa réplication dans un cas pourtant similaire ne la confirmait pas.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Aucun de ces « tests » ne pouvait être « décisif », à lui seul. Mais ils devaient être pour les apprentis chercheurs  un réflexe professionnel, un moyen d’orienter et de perfectionner leurs questions et leurs concepts.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Nous voulions surtout former nos étudiants à une démarche scientifique, à une réflexion critique dialectique permanente, à une pratique souple où un résultat négatif vous en apprend plus, en général, qu’une prétendue « confirmation »…  Par un usage presque quotidien et les aléas qu’il ne manque pas de présenter, nous voulions désacraliser et banaliser l’usage des statistiques.</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Car cet ouvrage, et l’expérience didactique qu’il portait, n’était qu’un élément de la  collection d’ouvrages produits par Régis Gras et quelques autres auteurs, destinés à illustrer les usages en didactique des nombreuses « méthodes d’analyse quantitative (voir note 1) » qui, à cette époque, affluaient dans le champ, portées par des moyens informatiques de plus en plus puissants: (AV, AD et RP régression polynomiale, AF, AFM, ACP, AFC, AC, etc.)</w:t>
      </w:r>
      <w:r w:rsidRPr="00D07E6C">
        <w:rPr>
          <w:rStyle w:val="Appelnotedebasdep"/>
          <w:rFonts w:ascii="Times New Roman" w:hAnsi="Times New Roman"/>
          <w:sz w:val="24"/>
          <w:szCs w:val="24"/>
        </w:rPr>
        <w:t xml:space="preserve"> </w:t>
      </w:r>
      <w:r w:rsidRPr="00D07E6C">
        <w:rPr>
          <w:rStyle w:val="Appelnotedebasdep"/>
          <w:rFonts w:ascii="Times New Roman" w:hAnsi="Times New Roman"/>
          <w:sz w:val="24"/>
          <w:szCs w:val="24"/>
        </w:rPr>
        <w:footnoteReference w:id="2"/>
      </w:r>
      <w:r w:rsidRPr="00D07E6C">
        <w:rPr>
          <w:rFonts w:ascii="Times New Roman" w:hAnsi="Times New Roman"/>
          <w:sz w:val="24"/>
          <w:szCs w:val="24"/>
        </w:rPr>
        <w:t xml:space="preserve">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Cette utilisation aurait dû pouvoir  prévenir  les effets décourageants de l’indispensable et unique épreuve statistique avec laquelle certains néophytes espéraient conclure toute leur thèse. La lecture hasardeuse et dérisoire des trois premiers plans principaux  d’un énorme ensemble de données péniblement recueillies et transcrites auprès de cohortes innombrables d’élèves discrédite l’usage des statistiques auprès de certains jeunes chercheurs habitués aux réponses tranchées de leur discipline.  </w:t>
      </w:r>
    </w:p>
    <w:p w:rsidR="00AD0066" w:rsidRPr="00D07E6C" w:rsidRDefault="00AD0066" w:rsidP="00AD0066">
      <w:pPr>
        <w:jc w:val="both"/>
        <w:rPr>
          <w:rFonts w:ascii="Times New Roman" w:hAnsi="Times New Roman"/>
          <w:sz w:val="24"/>
          <w:szCs w:val="24"/>
        </w:rPr>
      </w:pPr>
    </w:p>
    <w:p w:rsidR="00AD0066" w:rsidRDefault="00AD0066" w:rsidP="00AD0066">
      <w:pPr>
        <w:pStyle w:val="Titre5"/>
        <w:jc w:val="both"/>
        <w:rPr>
          <w:rFonts w:ascii="Times New Roman" w:hAnsi="Times New Roman"/>
          <w:sz w:val="24"/>
          <w:szCs w:val="24"/>
        </w:rPr>
      </w:pPr>
      <w:r w:rsidRPr="00D07E6C">
        <w:rPr>
          <w:rFonts w:ascii="Times New Roman" w:hAnsi="Times New Roman"/>
          <w:sz w:val="24"/>
          <w:szCs w:val="24"/>
        </w:rPr>
        <w:t xml:space="preserve">La deuxième « édition » : </w:t>
      </w:r>
    </w:p>
    <w:p w:rsidR="00AD0066" w:rsidRPr="00D07E6C" w:rsidRDefault="00AD0066" w:rsidP="00AD0066">
      <w:pPr>
        <w:pStyle w:val="Titre5"/>
        <w:jc w:val="both"/>
        <w:rPr>
          <w:rFonts w:ascii="Times New Roman" w:hAnsi="Times New Roman"/>
          <w:sz w:val="24"/>
          <w:szCs w:val="24"/>
        </w:rPr>
      </w:pPr>
      <w:r w:rsidRPr="00D07E6C">
        <w:rPr>
          <w:rFonts w:ascii="Times New Roman" w:hAnsi="Times New Roman"/>
          <w:sz w:val="24"/>
          <w:szCs w:val="24"/>
        </w:rPr>
        <w:t xml:space="preserve">1993 et son chapeau sur les stratégies de l’analyse statistique </w:t>
      </w:r>
    </w:p>
    <w:p w:rsidR="00AD0066" w:rsidRPr="00D07E6C" w:rsidRDefault="00AD0066" w:rsidP="00AD0066">
      <w:pPr>
        <w:pStyle w:val="Retraitnormal"/>
        <w:jc w:val="both"/>
        <w:rPr>
          <w:rFonts w:ascii="Times New Roman" w:hAnsi="Times New Roman"/>
          <w:sz w:val="24"/>
          <w:szCs w:val="24"/>
        </w:rPr>
      </w:pP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Il faut attendre 1993 pour voir la collection « Méthodes d’Analyse Quantitative » se compléter avec un texte général</w:t>
      </w:r>
      <w:r w:rsidRPr="00D07E6C">
        <w:rPr>
          <w:rStyle w:val="Appelnotedebasdep"/>
          <w:rFonts w:ascii="Times New Roman" w:hAnsi="Times New Roman"/>
          <w:sz w:val="24"/>
          <w:szCs w:val="24"/>
        </w:rPr>
        <w:footnoteReference w:id="3"/>
      </w:r>
      <w:r w:rsidRPr="00D07E6C">
        <w:rPr>
          <w:rFonts w:ascii="Times New Roman" w:hAnsi="Times New Roman"/>
          <w:sz w:val="24"/>
          <w:szCs w:val="24"/>
        </w:rPr>
        <w:t xml:space="preserve">. « Les stratégies de l’analyse statistique » présentent une synthèse « génétique, heuristique et didactique » de la Statistique. Les différentes méthodes sont générées successivement par une démarche unique, mathématique, heuristique et didactique. Cet ouvrage achève la collection des ouvrages destinés à la formation de nos différents interlocuteurs : élèves du primaire, professeurs, formateurs.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Ce texte ne suit pas l’ordre classique qui consiste à exposer d’abord la théorie des Probabilités, ni celui, plus moderne  d’un exposé axiomatique dans le prolongement de la théorie de la mesure, avec un appui sur le langage de la mécanique rationnelle. Il ne s’illustre pas non plus de l’Histoire des Mathématiques, ce que  certains professeurs prônaient dans les années 70, sans doute  pour compenser un peu l’austérité des exposés formels de la Mathématique moderne… un tel ouvrage aurait montré au contraire le caractère chaotique de l’histoire des probabilités et des statistiques.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Au contraire, il organise un curriculum didactique sur le même modèle que mes autres curriculums : la poursuite d’un projet générateur fondé sur une situation initiale, prolongé par </w:t>
      </w:r>
      <w:r w:rsidRPr="00D07E6C">
        <w:rPr>
          <w:rFonts w:ascii="Times New Roman" w:hAnsi="Times New Roman"/>
          <w:sz w:val="24"/>
          <w:szCs w:val="24"/>
        </w:rPr>
        <w:lastRenderedPageBreak/>
        <w:t xml:space="preserve">des positions différentes de l’école primaire… à la formation des professeurs de Mathématiques et de certains jeunes mathématiciens : Une sorte de </w:t>
      </w:r>
      <w:r w:rsidRPr="00D07E6C">
        <w:rPr>
          <w:rFonts w:ascii="Times New Roman" w:hAnsi="Times New Roman"/>
          <w:i/>
          <w:sz w:val="24"/>
          <w:szCs w:val="24"/>
        </w:rPr>
        <w:t>fil d’Ariane</w:t>
      </w:r>
      <w:r w:rsidRPr="00D07E6C">
        <w:rPr>
          <w:rStyle w:val="Appelnotedebasdep"/>
          <w:rFonts w:ascii="Times New Roman" w:hAnsi="Times New Roman"/>
          <w:i/>
          <w:sz w:val="24"/>
          <w:szCs w:val="24"/>
        </w:rPr>
        <w:footnoteReference w:id="4"/>
      </w:r>
      <w:r w:rsidRPr="00D07E6C">
        <w:rPr>
          <w:rFonts w:ascii="Times New Roman" w:hAnsi="Times New Roman"/>
          <w:sz w:val="24"/>
          <w:szCs w:val="24"/>
        </w:rPr>
        <w:t xml:space="preserve"> pour de nouveaux Thésée. Il ne suit pas non plus l’exemple du curriculum des nombres naturels et des nombres rationnels où j’acceptais  quelques « obstacles didactiques » pour intriguer les élèves et dramatiser leurs apprentissages</w:t>
      </w:r>
      <w:r w:rsidRPr="00D07E6C">
        <w:rPr>
          <w:rStyle w:val="Appelnotedebasdep"/>
          <w:rFonts w:ascii="Times New Roman" w:hAnsi="Times New Roman"/>
          <w:sz w:val="24"/>
          <w:szCs w:val="24"/>
        </w:rPr>
        <w:footnoteReference w:id="5"/>
      </w:r>
      <w:r w:rsidRPr="00D07E6C">
        <w:rPr>
          <w:rFonts w:ascii="Times New Roman" w:hAnsi="Times New Roman"/>
          <w:sz w:val="24"/>
          <w:szCs w:val="24"/>
        </w:rPr>
        <w:t xml:space="preserve">. Mais j’ai écarté l’idée d’utiliser l’étude de ceux qui se sont produits au cours de l’histoire des probabilités et des statistiques. Non qu’ils ne soient pas instructifs, au contraire ! Ils me sont apparus beaucoup trop récents et trop puissants et donc dangereux. J’ai au contraire choisi d’éliminer autant que faire se peut les allusions au hasard pour combattre l’addiction aux jeux, que certaines compagnies cherchent à développer par tous les moyens chez les enfants.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Mais  dans  ce texte écrit à l’intention des enseignants, des chercheurs et des étudiants en Didactique des Sciences qui fréquentaient le LADIST auquel le COREM était rattaché (bien que toujours soutenu par l’IREM), il semble ne rester presque rien  qui ressemblerait à ce que la théorie des situations avait conduit à proposer à d’autres niveaux. Mais en fait, c’est aussi le résultat de son application qui a conduit au choix de cette stratégie</w:t>
      </w:r>
      <w:r w:rsidRPr="00D07E6C">
        <w:rPr>
          <w:rStyle w:val="Appelnotedebasdep"/>
          <w:rFonts w:ascii="Times New Roman" w:hAnsi="Times New Roman"/>
          <w:sz w:val="24"/>
          <w:szCs w:val="24"/>
        </w:rPr>
        <w:footnoteReference w:id="6"/>
      </w:r>
      <w:r w:rsidRPr="00D07E6C">
        <w:rPr>
          <w:rFonts w:ascii="Times New Roman" w:hAnsi="Times New Roman"/>
          <w:sz w:val="24"/>
          <w:szCs w:val="24"/>
        </w:rPr>
        <w:t xml:space="preserve">.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Il n’a jamais été question de confier ces textes à un véritable éditeur pourquoi ?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La première raison, parce que l’organisation des fiches m’aurait sans doute fait accuser de plagiat, car l’usage de cet ouvrage était vraiment trop spécifique</w:t>
      </w:r>
      <w:r w:rsidRPr="00D07E6C">
        <w:rPr>
          <w:rStyle w:val="Appelnotedebasdep"/>
          <w:rFonts w:ascii="Times New Roman" w:hAnsi="Times New Roman"/>
          <w:sz w:val="24"/>
          <w:szCs w:val="24"/>
        </w:rPr>
        <w:footnoteReference w:id="7"/>
      </w:r>
      <w:r w:rsidRPr="00D07E6C">
        <w:rPr>
          <w:rFonts w:ascii="Times New Roman" w:hAnsi="Times New Roman"/>
          <w:sz w:val="24"/>
          <w:szCs w:val="24"/>
        </w:rPr>
        <w:t xml:space="preserve">, et sans doute parce que je n’avais aucun désir de me présenter dans une posture d’auteur statisticien. La seconde raison, parce qu’il était écrit dans une perspective d’étude didactique plutôt que dans celle d’une diffusion  d’idées – au demeurant assez répandues et même banales dans certains milieux.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C’est l’occasion de signaler une contribution d’Yves Chevallard aux plans du COREM</w:t>
      </w:r>
      <w:r w:rsidRPr="00D07E6C">
        <w:rPr>
          <w:rStyle w:val="Appelnotedebasdep"/>
          <w:rFonts w:ascii="Times New Roman" w:hAnsi="Times New Roman"/>
          <w:sz w:val="24"/>
          <w:szCs w:val="24"/>
        </w:rPr>
        <w:footnoteReference w:id="8"/>
      </w:r>
      <w:r w:rsidRPr="00D07E6C">
        <w:rPr>
          <w:rFonts w:ascii="Times New Roman" w:hAnsi="Times New Roman"/>
          <w:sz w:val="24"/>
          <w:szCs w:val="24"/>
        </w:rPr>
        <w:t xml:space="preserve">.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Il n’a jamais publié ces « Notes pour la Didactique de la Statistique » probablement parce que les premières traces de son cheminement (à partir de sources diverses et – tradition scolaire oblige – de mes ébauches de travaux) vers ses apports futurs lui paraissaient encore trop imparfaites et disparates.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On y trouve à la fois, avec des références historique partout denses (au voisinage de tous les sujets)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lastRenderedPageBreak/>
        <w:t>des généralités (</w:t>
      </w:r>
      <w:r w:rsidRPr="00D07E6C">
        <w:rPr>
          <w:rFonts w:ascii="Times New Roman" w:hAnsi="Times New Roman"/>
          <w:i/>
          <w:sz w:val="24"/>
          <w:szCs w:val="24"/>
        </w:rPr>
        <w:t>le problème de la mesure des grandeurs</w:t>
      </w:r>
      <w:r w:rsidRPr="00D07E6C">
        <w:rPr>
          <w:rFonts w:ascii="Times New Roman" w:hAnsi="Times New Roman"/>
          <w:sz w:val="24"/>
          <w:szCs w:val="24"/>
        </w:rPr>
        <w:t xml:space="preserve">)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des traces de l’organisation des cours du DEA de Bordeaux sur les Statistiques non paramétrique » (</w:t>
      </w:r>
      <w:r w:rsidRPr="00D07E6C">
        <w:rPr>
          <w:rFonts w:ascii="Times New Roman" w:hAnsi="Times New Roman"/>
          <w:i/>
          <w:sz w:val="24"/>
          <w:szCs w:val="24"/>
        </w:rPr>
        <w:t>relations entre deux variables</w:t>
      </w:r>
      <w:r w:rsidRPr="00D07E6C">
        <w:rPr>
          <w:rFonts w:ascii="Times New Roman" w:hAnsi="Times New Roman"/>
          <w:sz w:val="24"/>
          <w:szCs w:val="24"/>
        </w:rPr>
        <w:t xml:space="preserve">),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celle de mes approches théoriques (</w:t>
      </w:r>
      <w:r w:rsidRPr="00D07E6C">
        <w:rPr>
          <w:rFonts w:ascii="Times New Roman" w:hAnsi="Times New Roman"/>
          <w:i/>
          <w:sz w:val="24"/>
          <w:szCs w:val="24"/>
        </w:rPr>
        <w:t>« situations de fonctionnement »</w:t>
      </w:r>
      <w:r w:rsidRPr="00D07E6C">
        <w:rPr>
          <w:rFonts w:ascii="Times New Roman" w:hAnsi="Times New Roman"/>
          <w:sz w:val="24"/>
          <w:szCs w:val="24"/>
        </w:rPr>
        <w:t>),</w:t>
      </w:r>
    </w:p>
    <w:p w:rsidR="00AD0066" w:rsidRPr="00D07E6C" w:rsidRDefault="00AD0066" w:rsidP="00AD0066">
      <w:pPr>
        <w:numPr>
          <w:ilvl w:val="0"/>
          <w:numId w:val="1"/>
        </w:numPr>
        <w:jc w:val="both"/>
        <w:rPr>
          <w:rFonts w:ascii="Times New Roman" w:hAnsi="Times New Roman"/>
          <w:i/>
          <w:sz w:val="24"/>
          <w:szCs w:val="24"/>
        </w:rPr>
      </w:pPr>
      <w:r w:rsidRPr="00D07E6C">
        <w:rPr>
          <w:rFonts w:ascii="Times New Roman" w:hAnsi="Times New Roman"/>
          <w:sz w:val="24"/>
          <w:szCs w:val="24"/>
        </w:rPr>
        <w:t>un essai épistémologique (</w:t>
      </w:r>
      <w:r w:rsidRPr="00D07E6C">
        <w:rPr>
          <w:rFonts w:ascii="Times New Roman" w:hAnsi="Times New Roman"/>
          <w:i/>
          <w:sz w:val="24"/>
          <w:szCs w:val="24"/>
        </w:rPr>
        <w:t xml:space="preserve">la problématique générale de la statistique)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et les ébauches de ses propres travaux futurs (</w:t>
      </w:r>
      <w:r w:rsidRPr="00D07E6C">
        <w:rPr>
          <w:rFonts w:ascii="Times New Roman" w:hAnsi="Times New Roman"/>
          <w:i/>
          <w:sz w:val="24"/>
          <w:szCs w:val="24"/>
        </w:rPr>
        <w:t>la transposition didactique dans l’enseignement de la statistique, problèmes de surdétermination en Didactique</w:t>
      </w:r>
      <w:r w:rsidRPr="00D07E6C">
        <w:rPr>
          <w:rFonts w:ascii="Times New Roman" w:hAnsi="Times New Roman"/>
          <w:sz w:val="24"/>
          <w:szCs w:val="24"/>
        </w:rPr>
        <w:t xml:space="preserve">) </w:t>
      </w:r>
    </w:p>
    <w:p w:rsidR="00AD0066" w:rsidRPr="00D07E6C" w:rsidRDefault="00AD0066" w:rsidP="00AD0066">
      <w:pPr>
        <w:jc w:val="both"/>
        <w:rPr>
          <w:rFonts w:ascii="Times New Roman" w:hAnsi="Times New Roman"/>
          <w:sz w:val="24"/>
          <w:szCs w:val="24"/>
        </w:rPr>
      </w:pPr>
    </w:p>
    <w:p w:rsidR="00AD0066" w:rsidRPr="00D07E6C" w:rsidRDefault="00AD0066" w:rsidP="00AD0066">
      <w:pPr>
        <w:pStyle w:val="Titre5"/>
        <w:jc w:val="both"/>
        <w:rPr>
          <w:rFonts w:ascii="Times New Roman" w:hAnsi="Times New Roman"/>
          <w:sz w:val="24"/>
          <w:szCs w:val="24"/>
        </w:rPr>
      </w:pPr>
      <w:r w:rsidRPr="00D07E6C">
        <w:rPr>
          <w:rFonts w:ascii="Times New Roman" w:hAnsi="Times New Roman"/>
          <w:sz w:val="24"/>
          <w:szCs w:val="24"/>
        </w:rPr>
        <w:t xml:space="preserve">L’ « édition » 2014, corrections et motifs </w:t>
      </w:r>
    </w:p>
    <w:p w:rsidR="00AD0066" w:rsidRPr="00D07E6C" w:rsidRDefault="00AD0066" w:rsidP="00AD0066">
      <w:pPr>
        <w:pStyle w:val="Retraitnormal"/>
        <w:jc w:val="both"/>
        <w:rPr>
          <w:rFonts w:ascii="Times New Roman" w:hAnsi="Times New Roman"/>
          <w:sz w:val="24"/>
          <w:szCs w:val="24"/>
        </w:rPr>
      </w:pPr>
    </w:p>
    <w:p w:rsidR="00AD0066" w:rsidRPr="00D07E6C" w:rsidRDefault="00AD0066" w:rsidP="00AD0066">
      <w:pPr>
        <w:jc w:val="both"/>
        <w:rPr>
          <w:rFonts w:ascii="Times New Roman" w:hAnsi="Times New Roman"/>
          <w:sz w:val="24"/>
          <w:szCs w:val="24"/>
        </w:rPr>
      </w:pPr>
      <w:r w:rsidRPr="00D07E6C">
        <w:rPr>
          <w:rFonts w:ascii="Times New Roman" w:hAnsi="Times New Roman"/>
          <w:i/>
          <w:sz w:val="24"/>
          <w:szCs w:val="24"/>
        </w:rPr>
        <w:t>Quel peut être l’intérêt</w:t>
      </w:r>
      <w:r w:rsidRPr="00D07E6C">
        <w:rPr>
          <w:rFonts w:ascii="Times New Roman" w:hAnsi="Times New Roman"/>
          <w:sz w:val="24"/>
          <w:szCs w:val="24"/>
        </w:rPr>
        <w:t xml:space="preserve"> de rééditer en 2014 un texte aussi ancien ?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 xml:space="preserve">D’abord, évidemment, pour corriger les fautes et les erreurs qui ont persisté à travers les différentes « éditions » de ce texte. ?  Oui ! </w:t>
      </w:r>
    </w:p>
    <w:p w:rsidR="00AD0066" w:rsidRPr="00D07E6C" w:rsidRDefault="00AD0066" w:rsidP="00AD0066">
      <w:pPr>
        <w:ind w:left="720"/>
        <w:jc w:val="both"/>
        <w:rPr>
          <w:rFonts w:ascii="Times New Roman" w:hAnsi="Times New Roman"/>
          <w:sz w:val="24"/>
          <w:szCs w:val="24"/>
        </w:rPr>
      </w:pPr>
      <w:r w:rsidRPr="00D07E6C">
        <w:rPr>
          <w:rFonts w:ascii="Times New Roman" w:hAnsi="Times New Roman"/>
          <w:sz w:val="24"/>
          <w:szCs w:val="24"/>
        </w:rPr>
        <w:t xml:space="preserve">Mais pour quels lecteurs ? : Aucun article scientifique, aujourd’hui comme déjà en 1975, n’oserait s’autoriser de ces méthodes pour soutenir un résultat !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Pour promouvoir une meilleure formation à l’emploi professionnel ordinaire de la Statistique dans l’enseignement ?</w:t>
      </w:r>
    </w:p>
    <w:p w:rsidR="00AD0066" w:rsidRPr="00D07E6C" w:rsidRDefault="00AD0066" w:rsidP="00AD0066">
      <w:pPr>
        <w:ind w:left="720"/>
        <w:jc w:val="both"/>
        <w:rPr>
          <w:rFonts w:ascii="Times New Roman" w:hAnsi="Times New Roman"/>
          <w:sz w:val="24"/>
          <w:szCs w:val="24"/>
        </w:rPr>
      </w:pPr>
      <w:r w:rsidRPr="00D07E6C">
        <w:rPr>
          <w:rFonts w:ascii="Times New Roman" w:hAnsi="Times New Roman"/>
          <w:sz w:val="24"/>
          <w:szCs w:val="24"/>
        </w:rPr>
        <w:t>Mais à ma connaissance aucun organisme de préparation à l’enseignement ne les a introduites dans ses programmes.</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 xml:space="preserve">Pour armer les enseignants et le public contre divers abus des statistiques: </w:t>
      </w:r>
    </w:p>
    <w:p w:rsidR="00AD0066" w:rsidRPr="00D07E6C" w:rsidRDefault="00AD0066" w:rsidP="00AD0066">
      <w:pPr>
        <w:numPr>
          <w:ilvl w:val="1"/>
          <w:numId w:val="1"/>
        </w:numPr>
        <w:jc w:val="both"/>
        <w:rPr>
          <w:rFonts w:ascii="Times New Roman" w:hAnsi="Times New Roman"/>
          <w:sz w:val="24"/>
          <w:szCs w:val="24"/>
        </w:rPr>
      </w:pPr>
      <w:r w:rsidRPr="00D07E6C">
        <w:rPr>
          <w:rFonts w:ascii="Times New Roman" w:hAnsi="Times New Roman"/>
          <w:sz w:val="24"/>
          <w:szCs w:val="24"/>
        </w:rPr>
        <w:t xml:space="preserve">L’usage débridé  des « évaluations de masse» de l’éducation et des interprétations officiellement superficielles et béotiennes qui les accompagnent, </w:t>
      </w:r>
    </w:p>
    <w:p w:rsidR="00AD0066" w:rsidRPr="00D07E6C" w:rsidRDefault="00AD0066" w:rsidP="00AD0066">
      <w:pPr>
        <w:numPr>
          <w:ilvl w:val="1"/>
          <w:numId w:val="1"/>
        </w:numPr>
        <w:jc w:val="both"/>
        <w:rPr>
          <w:rFonts w:ascii="Times New Roman" w:hAnsi="Times New Roman"/>
          <w:sz w:val="24"/>
          <w:szCs w:val="24"/>
        </w:rPr>
      </w:pPr>
      <w:r w:rsidRPr="00D07E6C">
        <w:rPr>
          <w:rFonts w:ascii="Times New Roman" w:hAnsi="Times New Roman"/>
          <w:sz w:val="24"/>
          <w:szCs w:val="24"/>
        </w:rPr>
        <w:t>les effets sur le public des interprétations ouvertement grossières et biaisées qu’elles provoquent</w:t>
      </w:r>
    </w:p>
    <w:p w:rsidR="00AD0066" w:rsidRPr="00D07E6C" w:rsidRDefault="00AD0066" w:rsidP="00AD0066">
      <w:pPr>
        <w:numPr>
          <w:ilvl w:val="1"/>
          <w:numId w:val="1"/>
        </w:numPr>
        <w:jc w:val="both"/>
        <w:rPr>
          <w:rFonts w:ascii="Times New Roman" w:hAnsi="Times New Roman"/>
          <w:sz w:val="24"/>
          <w:szCs w:val="24"/>
        </w:rPr>
      </w:pPr>
      <w:r w:rsidRPr="00D07E6C">
        <w:rPr>
          <w:rFonts w:ascii="Times New Roman" w:hAnsi="Times New Roman"/>
          <w:sz w:val="24"/>
          <w:szCs w:val="24"/>
        </w:rPr>
        <w:t>la centration des statistiques sur l’étude des comportements généraux des acteurs sans offrir l’exemple</w:t>
      </w:r>
    </w:p>
    <w:p w:rsidR="00AD0066" w:rsidRPr="00D07E6C" w:rsidRDefault="00AD0066" w:rsidP="00AD0066">
      <w:pPr>
        <w:ind w:left="708"/>
        <w:jc w:val="both"/>
        <w:rPr>
          <w:rFonts w:ascii="Times New Roman" w:hAnsi="Times New Roman"/>
          <w:sz w:val="24"/>
          <w:szCs w:val="24"/>
        </w:rPr>
      </w:pPr>
      <w:r w:rsidRPr="00D07E6C">
        <w:rPr>
          <w:rFonts w:ascii="Times New Roman" w:hAnsi="Times New Roman"/>
          <w:sz w:val="24"/>
          <w:szCs w:val="24"/>
        </w:rPr>
        <w:t xml:space="preserve">Mais le stratagème paraît bien trop détourné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 xml:space="preserve">Pour donner l’exemple d’un usage scientifique et positif de la Statistiques dans la préparation et la conduite des activités d’enseignement, en particulier pour observer autre chose que l’absurde emprisonnement d’un épisode didactique dans la brutale et stupide réduction à l’alternative « réussite-échec » oui ! peut-être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 xml:space="preserve">Pour aider les chercheurs qui veulent exploiter des données scolaires semblables à celles des archives du COREM ? </w:t>
      </w:r>
    </w:p>
    <w:p w:rsidR="00AD0066" w:rsidRPr="00D07E6C" w:rsidRDefault="00AD0066" w:rsidP="00AD0066">
      <w:pPr>
        <w:ind w:left="720"/>
        <w:jc w:val="both"/>
        <w:rPr>
          <w:rFonts w:ascii="Times New Roman" w:hAnsi="Times New Roman"/>
          <w:sz w:val="24"/>
          <w:szCs w:val="24"/>
        </w:rPr>
      </w:pPr>
      <w:r w:rsidRPr="00D07E6C">
        <w:rPr>
          <w:rFonts w:ascii="Times New Roman" w:hAnsi="Times New Roman"/>
          <w:sz w:val="24"/>
          <w:szCs w:val="24"/>
        </w:rPr>
        <w:t xml:space="preserve">Certainement, encore faudrait-il qu’ils veuillent et qu’ils le puissent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 xml:space="preserve">Finalement, je veux simplement, ici, simplement, rendre compte de l’usage réel qui en a été fait et de ses résultats. Ils n’ont rien de glorieux, </w:t>
      </w:r>
    </w:p>
    <w:p w:rsidR="00AD0066" w:rsidRPr="00D07E6C" w:rsidRDefault="00AD0066" w:rsidP="00AD0066">
      <w:pPr>
        <w:ind w:left="720"/>
        <w:jc w:val="both"/>
        <w:rPr>
          <w:rFonts w:ascii="Times New Roman" w:hAnsi="Times New Roman"/>
          <w:sz w:val="24"/>
          <w:szCs w:val="24"/>
        </w:rPr>
      </w:pPr>
      <w:proofErr w:type="gramStart"/>
      <w:r w:rsidRPr="00D07E6C">
        <w:rPr>
          <w:rFonts w:ascii="Times New Roman" w:hAnsi="Times New Roman"/>
          <w:sz w:val="24"/>
          <w:szCs w:val="24"/>
        </w:rPr>
        <w:t>mais</w:t>
      </w:r>
      <w:proofErr w:type="gramEnd"/>
      <w:r w:rsidRPr="00D07E6C">
        <w:rPr>
          <w:rFonts w:ascii="Times New Roman" w:hAnsi="Times New Roman"/>
          <w:sz w:val="24"/>
          <w:szCs w:val="24"/>
        </w:rPr>
        <w:t xml:space="preserve"> ils pourraient être instructifs. Cette attitude est à l’image de ma pratique de la recherche :</w:t>
      </w:r>
    </w:p>
    <w:p w:rsidR="00AD0066" w:rsidRPr="00D07E6C" w:rsidRDefault="00AD0066" w:rsidP="00AD0066">
      <w:pPr>
        <w:numPr>
          <w:ilvl w:val="0"/>
          <w:numId w:val="1"/>
        </w:numPr>
        <w:jc w:val="both"/>
        <w:rPr>
          <w:rFonts w:ascii="Times New Roman" w:hAnsi="Times New Roman"/>
          <w:sz w:val="24"/>
          <w:szCs w:val="24"/>
        </w:rPr>
      </w:pPr>
      <w:r w:rsidRPr="00D07E6C">
        <w:rPr>
          <w:rFonts w:ascii="Times New Roman" w:hAnsi="Times New Roman"/>
          <w:sz w:val="24"/>
          <w:szCs w:val="24"/>
        </w:rPr>
        <w:t xml:space="preserve">Pour le public la science avance par l’acquisition de savoirs, qui s’appuient sur des savoirs antérieurs et servent à construire les savoirs futurs. </w:t>
      </w:r>
    </w:p>
    <w:p w:rsidR="00AD0066" w:rsidRPr="00D07E6C" w:rsidRDefault="00AD0066" w:rsidP="00AD0066">
      <w:pPr>
        <w:jc w:val="both"/>
        <w:rPr>
          <w:rFonts w:ascii="Times New Roman" w:hAnsi="Times New Roman"/>
          <w:sz w:val="24"/>
          <w:szCs w:val="24"/>
        </w:rPr>
      </w:pP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Mon expérience a plutôt consisté à aller de questions - dont j’ai découvert les défauts, mais qui m’ont révélé des erreurs - en questions mieux posées et moins incertaines… jusqu’à l’expérience suivante.  Cette perspective a sur  précédente l’avantage de vous rendre humble et libre et ainsi d’éviter le découragement et l’impatience… Grâce aux facilités d’une époque bénie des dieux,  J’ai pu bénéficier d’une éternité de recherche. Le temps qu’il faut pour croire transformer en une  vérité cette réponse à une question incertaine …   </w:t>
      </w:r>
    </w:p>
    <w:p w:rsidR="00AD0066" w:rsidRPr="00D07E6C" w:rsidRDefault="00AD0066" w:rsidP="00AD0066">
      <w:pPr>
        <w:jc w:val="both"/>
        <w:rPr>
          <w:rFonts w:ascii="Times New Roman" w:hAnsi="Times New Roman"/>
          <w:sz w:val="24"/>
          <w:szCs w:val="24"/>
        </w:rPr>
      </w:pPr>
    </w:p>
    <w:p w:rsidR="00AD0066" w:rsidRPr="00D07E6C" w:rsidRDefault="00AD0066" w:rsidP="00AD0066">
      <w:pPr>
        <w:jc w:val="both"/>
        <w:rPr>
          <w:rFonts w:ascii="Times New Roman" w:hAnsi="Times New Roman"/>
          <w:i/>
          <w:sz w:val="24"/>
          <w:szCs w:val="24"/>
        </w:rPr>
      </w:pPr>
      <w:r w:rsidRPr="00D07E6C">
        <w:rPr>
          <w:rFonts w:ascii="Times New Roman" w:hAnsi="Times New Roman"/>
          <w:i/>
          <w:sz w:val="24"/>
          <w:szCs w:val="24"/>
        </w:rPr>
        <w:t xml:space="preserve">Les résultats des différents dispositifs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lastRenderedPageBreak/>
        <w:t xml:space="preserve">Le bon exemple est celui, exemplaire, du DEA de J. M. </w:t>
      </w:r>
      <w:proofErr w:type="spellStart"/>
      <w:r w:rsidRPr="00D07E6C">
        <w:rPr>
          <w:rFonts w:ascii="Times New Roman" w:hAnsi="Times New Roman"/>
          <w:sz w:val="24"/>
          <w:szCs w:val="24"/>
        </w:rPr>
        <w:t>Digneau</w:t>
      </w:r>
      <w:proofErr w:type="spellEnd"/>
      <w:r w:rsidRPr="00D07E6C">
        <w:rPr>
          <w:rFonts w:ascii="Times New Roman" w:hAnsi="Times New Roman"/>
          <w:sz w:val="24"/>
          <w:szCs w:val="24"/>
        </w:rPr>
        <w:t xml:space="preserve"> qui me semble après coup valoir bien des thèses ultérieures.  Mais par la suite la fréquentation des textes de ce fascicule précis a très vite été tout à fait superficielle : au mieux elle s’est limitée à la lecture des exemples. On n’en trouve que quelques traces dans la plupart des mémoires.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Les étudiants chercheurs considéraient que, seulement, ce qui figurera dans le texte final est digne d’être travaillé. </w:t>
      </w:r>
    </w:p>
    <w:p w:rsidR="00AD0066" w:rsidRPr="00D07E6C" w:rsidRDefault="00AD0066" w:rsidP="00AD0066">
      <w:pPr>
        <w:jc w:val="both"/>
        <w:rPr>
          <w:rFonts w:ascii="Times New Roman" w:hAnsi="Times New Roman"/>
          <w:sz w:val="24"/>
          <w:szCs w:val="24"/>
        </w:rPr>
      </w:pPr>
      <w:r w:rsidRPr="00D07E6C">
        <w:rPr>
          <w:rFonts w:ascii="Times New Roman" w:hAnsi="Times New Roman"/>
          <w:sz w:val="24"/>
          <w:szCs w:val="24"/>
        </w:rPr>
        <w:t xml:space="preserve">Donc mon idée de s’entrainer à envisager des hypothèses et à les étudier pour en énoncer de nouvelles et ainsi de commencer une dialectique scientifique telle que je la pratiquais, se révélait totalement inadaptée aux conditions de travail des jeunes chercheurs. L’ambition de faire du mémoire de première année, un entrainement aux méthodes de la Recherche s’est révélé inappropriée.  Très vite les étudiants et nous même, nous sommes orientés, à regret à laisser choisir tout de suite un sujet de thèse. Seule la fréquentation régulière du COREM et des classes de l’école J. Michelet était capable de motiver ce genre de travail… Si l’observation- spectacle ne prenait pas le pas sur l’observation participante (qui dépendait de celle des maîtres. </w:t>
      </w:r>
    </w:p>
    <w:p w:rsidR="00AD0066" w:rsidRDefault="00AD0066" w:rsidP="00AD0066">
      <w:pPr>
        <w:jc w:val="both"/>
        <w:rPr>
          <w:rFonts w:ascii="Times New Roman" w:hAnsi="Times New Roman"/>
          <w:sz w:val="24"/>
          <w:szCs w:val="24"/>
        </w:rPr>
      </w:pPr>
      <w:r w:rsidRPr="00D07E6C">
        <w:rPr>
          <w:rFonts w:ascii="Times New Roman" w:hAnsi="Times New Roman"/>
          <w:sz w:val="24"/>
          <w:szCs w:val="24"/>
        </w:rPr>
        <w:t xml:space="preserve">L’initiation à la Didactique aurait dû commencer au plus tard avec l’année de maîtrise pour les futurs enseignants de mathématiques de tous niveaux scolaires. L’insertion du projet de carrière dans l’enseignement des mathématiques et celui de l’information des mathématiciens professionnels aux problèmes de la diffusion de leur culture est un des problèmes principaux que rencontre l’éducation.  </w:t>
      </w:r>
    </w:p>
    <w:p w:rsidR="00DE666C" w:rsidRPr="00D07E6C" w:rsidRDefault="00DE666C" w:rsidP="00DE666C">
      <w:pPr>
        <w:jc w:val="right"/>
        <w:rPr>
          <w:rFonts w:ascii="Times New Roman" w:hAnsi="Times New Roman"/>
          <w:sz w:val="24"/>
          <w:szCs w:val="24"/>
        </w:rPr>
      </w:pPr>
      <w:r>
        <w:rPr>
          <w:rFonts w:ascii="Times New Roman" w:hAnsi="Times New Roman"/>
          <w:sz w:val="24"/>
          <w:szCs w:val="24"/>
        </w:rPr>
        <w:t>GB Janvier 2015</w:t>
      </w:r>
    </w:p>
    <w:p w:rsidR="00AD0066" w:rsidRPr="00D07E6C" w:rsidRDefault="00AD0066" w:rsidP="00AD0066">
      <w:pPr>
        <w:jc w:val="both"/>
        <w:rPr>
          <w:rFonts w:ascii="Times New Roman" w:hAnsi="Times New Roman"/>
          <w:sz w:val="24"/>
          <w:szCs w:val="24"/>
        </w:rPr>
      </w:pPr>
    </w:p>
    <w:p w:rsidR="00AD0066" w:rsidRDefault="00AD0066" w:rsidP="00AD0066"/>
    <w:p w:rsidR="00CB77A9" w:rsidRDefault="00C95C41"/>
    <w:sectPr w:rsidR="00CB77A9" w:rsidSect="00EC39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C41" w:rsidRDefault="00C95C41" w:rsidP="00AD0066">
      <w:r>
        <w:separator/>
      </w:r>
    </w:p>
  </w:endnote>
  <w:endnote w:type="continuationSeparator" w:id="0">
    <w:p w:rsidR="00C95C41" w:rsidRDefault="00C95C41" w:rsidP="00AD00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C41" w:rsidRDefault="00C95C41" w:rsidP="00AD0066">
      <w:r>
        <w:separator/>
      </w:r>
    </w:p>
  </w:footnote>
  <w:footnote w:type="continuationSeparator" w:id="0">
    <w:p w:rsidR="00C95C41" w:rsidRDefault="00C95C41" w:rsidP="00AD0066">
      <w:r>
        <w:continuationSeparator/>
      </w:r>
    </w:p>
  </w:footnote>
  <w:footnote w:id="1">
    <w:p w:rsidR="00AD0066" w:rsidRDefault="00AD0066" w:rsidP="00AD0066">
      <w:pPr>
        <w:pStyle w:val="Notedebasdepage"/>
      </w:pPr>
      <w:r>
        <w:rPr>
          <w:rStyle w:val="Appelnotedebasdep"/>
        </w:rPr>
        <w:footnoteRef/>
      </w:r>
      <w:r>
        <w:t xml:space="preserve"> </w:t>
      </w:r>
      <w:r w:rsidRPr="00934DD5">
        <w:t>Ces travaux font référence à deux</w:t>
      </w:r>
      <w:r>
        <w:t xml:space="preserve"> expériences : la première expérience (1972-73), la seconde, la mieux connue et considérée comme l’expérience principale (1973-74).  Le matériel n’est pas le même : boules noires et blanches dans une bouteille pour 1973-74, sacs et jetons noirs et blancs pour 1972-73.</w:t>
      </w:r>
    </w:p>
  </w:footnote>
  <w:footnote w:id="2">
    <w:p w:rsidR="00AD0066" w:rsidRDefault="00AD0066" w:rsidP="00AD0066">
      <w:r>
        <w:rPr>
          <w:rStyle w:val="Appelnotedebasdep"/>
        </w:rPr>
        <w:footnoteRef/>
      </w:r>
      <w:r>
        <w:t xml:space="preserve"> </w:t>
      </w:r>
      <w:r w:rsidRPr="00ED6E3C">
        <w:t>AV</w:t>
      </w:r>
      <w:r>
        <w:t> : analyse de la Variance</w:t>
      </w:r>
      <w:r w:rsidRPr="00ED6E3C">
        <w:t xml:space="preserve">, </w:t>
      </w:r>
      <w:r>
        <w:t xml:space="preserve">AD : Analyse Discriminante, RP : </w:t>
      </w:r>
      <w:r w:rsidRPr="00ED6E3C">
        <w:t>régression polynomiale, AF</w:t>
      </w:r>
      <w:r>
        <w:t> : Analyse factorielle</w:t>
      </w:r>
      <w:r w:rsidRPr="00ED6E3C">
        <w:t xml:space="preserve">, </w:t>
      </w:r>
      <w:r>
        <w:t xml:space="preserve">AFM : Analyse factorielle Multiple, </w:t>
      </w:r>
      <w:r w:rsidRPr="00ED6E3C">
        <w:t>ACP</w:t>
      </w:r>
      <w:r>
        <w:t> : Analyse en composantes principales</w:t>
      </w:r>
      <w:r w:rsidRPr="00ED6E3C">
        <w:t>, AFC</w:t>
      </w:r>
      <w:r>
        <w:t xml:space="preserve"> : Analyse factorielle des correspondances, AC : Analyse Canonique, </w:t>
      </w:r>
      <w:r w:rsidRPr="00ED6E3C">
        <w:t xml:space="preserve">etc.) </w:t>
      </w:r>
    </w:p>
  </w:footnote>
  <w:footnote w:id="3">
    <w:p w:rsidR="00AD0066" w:rsidRDefault="00AD0066" w:rsidP="00AD0066">
      <w:pPr>
        <w:pStyle w:val="Notedebasdepage"/>
      </w:pPr>
      <w:r>
        <w:rPr>
          <w:rStyle w:val="Appelnotedebasdep"/>
        </w:rPr>
        <w:footnoteRef/>
      </w:r>
      <w:r>
        <w:t xml:space="preserve"> Brousseau, G., « Stratégies de l’analyse statistique », LADIST, Université Bordeaux 1, 1993 </w:t>
      </w:r>
    </w:p>
  </w:footnote>
  <w:footnote w:id="4">
    <w:p w:rsidR="00AD0066" w:rsidRDefault="00AD0066" w:rsidP="00AD0066">
      <w:pPr>
        <w:pStyle w:val="Notedebasdepage"/>
      </w:pPr>
      <w:r>
        <w:rPr>
          <w:rStyle w:val="Appelnotedebasdep"/>
        </w:rPr>
        <w:footnoteRef/>
      </w:r>
      <w:r>
        <w:t xml:space="preserve"> Hommage à André </w:t>
      </w:r>
      <w:proofErr w:type="spellStart"/>
      <w:r>
        <w:t>Huisman</w:t>
      </w:r>
      <w:proofErr w:type="spellEnd"/>
      <w:r>
        <w:t xml:space="preserve"> : Le fil d’Ariane ou variations sur deux thèmes : la fonction linéaire, la fonction exponentielle, </w:t>
      </w:r>
      <w:proofErr w:type="spellStart"/>
      <w:r>
        <w:t>Wermael</w:t>
      </w:r>
      <w:proofErr w:type="spellEnd"/>
      <w:r>
        <w:t xml:space="preserve">- Charlier 1959. </w:t>
      </w:r>
    </w:p>
  </w:footnote>
  <w:footnote w:id="5">
    <w:p w:rsidR="00AD0066" w:rsidRDefault="00AD0066" w:rsidP="00AD0066">
      <w:pPr>
        <w:pStyle w:val="Notedebasdepage"/>
        <w:jc w:val="both"/>
      </w:pPr>
      <w:r>
        <w:rPr>
          <w:rStyle w:val="Appelnotedebasdep"/>
        </w:rPr>
        <w:footnoteRef/>
      </w:r>
      <w:r>
        <w:t xml:space="preserve"> La lecture de Bachelard</w:t>
      </w:r>
      <w:r>
        <w:rPr>
          <w:rStyle w:val="Appelnotedebasdep"/>
        </w:rPr>
        <w:footnoteRef/>
      </w:r>
      <w:r>
        <w:t xml:space="preserve"> m’avait révélé l’importance du rôle des obstacles épistémologiques et m’avait convaincu de la possibilité qu’il en existe en Mathématiques. Mais Bachelard, peut-être abusé par la présentation des mathématiques donnée par Poincaré, niait cette possibilité. Or J’étais convaincu que l’histoire des probabilités et de la Statistiques apportait un démenti flagrant à sa position. Il me semblait important d’en tenir compte pour l’enseignement des mathématiques, soit pour s’en servir, soit pour éviter d’en être victime</w:t>
      </w:r>
      <w:r>
        <w:rPr>
          <w:rStyle w:val="Appelnotedebasdep"/>
        </w:rPr>
        <w:footnoteRef/>
      </w:r>
      <w:r>
        <w:t>).  Alors que j’ai introduit à plusieurs reprises, volontairement, des obstacles épistémologiques dans certains de mes curriculums (par ex. dans l’apprentissage des nombres Rationnels)</w:t>
      </w:r>
    </w:p>
  </w:footnote>
  <w:footnote w:id="6">
    <w:p w:rsidR="00AD0066" w:rsidRDefault="00AD0066" w:rsidP="00AD0066">
      <w:pPr>
        <w:pStyle w:val="Notedebasdepage"/>
        <w:jc w:val="both"/>
      </w:pPr>
      <w:r>
        <w:rPr>
          <w:rStyle w:val="Appelnotedebasdep"/>
        </w:rPr>
        <w:footnoteRef/>
      </w:r>
      <w:r>
        <w:t xml:space="preserve"> Une fois de plus il est utile de répéter que la Théorie des Situations ne tend à favoriser aucune méthode pratique générale qui s’appliquerait en toutes circonstances. Au contraire, chaque méthode observée possède en principe un champ de circonstances où elle est « préférable » à tout autre. </w:t>
      </w:r>
    </w:p>
  </w:footnote>
  <w:footnote w:id="7">
    <w:p w:rsidR="00AD0066" w:rsidRDefault="00AD0066" w:rsidP="00AD0066">
      <w:pPr>
        <w:jc w:val="both"/>
      </w:pPr>
      <w:r>
        <w:rPr>
          <w:rStyle w:val="Appelnotedebasdep"/>
        </w:rPr>
        <w:footnoteRef/>
      </w:r>
      <w:r>
        <w:t xml:space="preserve"> Je me sens obligé de me justifier. Il faut rappeler que dans ses séances de TP à l’Université, à moins d’avoir des intentions de publication, l’assistant n’est vraiment « l’auteur » que d’une petite partie des sujets d’étude qu’il présente à ses élèves. Le plus souvent, il choisit dans la littérature les théorèmes mineurs les mieux adaptés au cours qu’ils doivent accompagner, qui peuvent l’illustrer et/ou au besoin le compléter. Il en adapte la difficulté à ses élèves en manipulant les informations qu’il leur donne et les questions qu’il leur pose.  J’ai suivi cette tradition et dans ces conditions il n’est pas question de publier ce « polycop » chez un éditeur. </w:t>
      </w:r>
    </w:p>
  </w:footnote>
  <w:footnote w:id="8">
    <w:p w:rsidR="00AD0066" w:rsidRDefault="00AD0066" w:rsidP="00AD0066">
      <w:pPr>
        <w:jc w:val="both"/>
      </w:pPr>
      <w:r>
        <w:rPr>
          <w:rStyle w:val="Appelnotedebasdep"/>
        </w:rPr>
        <w:footnoteRef/>
      </w:r>
      <w:r>
        <w:t xml:space="preserve"> Jean </w:t>
      </w:r>
      <w:proofErr w:type="spellStart"/>
      <w:r>
        <w:t>Colmez</w:t>
      </w:r>
      <w:proofErr w:type="spellEnd"/>
      <w:r>
        <w:t xml:space="preserve"> m’avait chargé de mettre en place avec l’IREM de Marseille un DEA similaire au nôtre. Cela me donna l’avantage, et le plaisir, de voir Yves Chevallard participer à notre programme. Il devait prendre la responsabilité du nouveau centre après une certaine période de clonage. Avant de nombreux travaux aujourd’hui célèbres, Yves Chevallard a produit là 400 pages d’intéressantes notes qu’à ma connaissance il n’a jamais publiées : un gros polycopié bourré de références historiques rassemblées au cours d’une démarche de recherche</w:t>
      </w:r>
      <w:r w:rsidRPr="00510542">
        <w:t xml:space="preserve"> </w:t>
      </w:r>
      <w:r>
        <w:t>scientifique en Didactique s’exprime et où ses travaux futurs se dessinent.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3E7"/>
    <w:multiLevelType w:val="hybridMultilevel"/>
    <w:tmpl w:val="6FEAE68E"/>
    <w:lvl w:ilvl="0" w:tplc="A812596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D0066"/>
    <w:rsid w:val="000F64D9"/>
    <w:rsid w:val="001179C0"/>
    <w:rsid w:val="0020338E"/>
    <w:rsid w:val="003203AB"/>
    <w:rsid w:val="004E59A2"/>
    <w:rsid w:val="005B04D7"/>
    <w:rsid w:val="00704BAD"/>
    <w:rsid w:val="00781163"/>
    <w:rsid w:val="007A533E"/>
    <w:rsid w:val="008625C4"/>
    <w:rsid w:val="00881D38"/>
    <w:rsid w:val="00AD0066"/>
    <w:rsid w:val="00C71AA4"/>
    <w:rsid w:val="00C723C8"/>
    <w:rsid w:val="00C95C41"/>
    <w:rsid w:val="00D578BC"/>
    <w:rsid w:val="00D860DF"/>
    <w:rsid w:val="00DA52D2"/>
    <w:rsid w:val="00DE666C"/>
    <w:rsid w:val="00E01612"/>
    <w:rsid w:val="00E962D7"/>
    <w:rsid w:val="00FB3A5E"/>
    <w:rsid w:val="00FC31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66"/>
    <w:pPr>
      <w:spacing w:after="0" w:line="240" w:lineRule="auto"/>
    </w:pPr>
    <w:rPr>
      <w:rFonts w:ascii="Calibri" w:eastAsia="Times New Roman" w:hAnsi="Calibri" w:cs="Times New Roman"/>
      <w:sz w:val="20"/>
      <w:szCs w:val="20"/>
      <w:lang w:eastAsia="fr-FR"/>
    </w:rPr>
  </w:style>
  <w:style w:type="paragraph" w:styleId="Titre2">
    <w:name w:val="heading 2"/>
    <w:basedOn w:val="Normal"/>
    <w:next w:val="Normal"/>
    <w:link w:val="Titre2Car"/>
    <w:uiPriority w:val="9"/>
    <w:semiHidden/>
    <w:unhideWhenUsed/>
    <w:qFormat/>
    <w:rsid w:val="00DA52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A52D2"/>
    <w:pPr>
      <w:spacing w:before="100" w:beforeAutospacing="1" w:after="100" w:afterAutospacing="1"/>
      <w:outlineLvl w:val="2"/>
    </w:pPr>
    <w:rPr>
      <w:rFonts w:ascii="Times New Roman" w:hAnsi="Times New Roman"/>
      <w:b/>
      <w:bCs/>
      <w:sz w:val="27"/>
      <w:szCs w:val="27"/>
    </w:rPr>
  </w:style>
  <w:style w:type="paragraph" w:styleId="Titre4">
    <w:name w:val="heading 4"/>
    <w:basedOn w:val="Normal"/>
    <w:link w:val="Titre4Car"/>
    <w:uiPriority w:val="9"/>
    <w:qFormat/>
    <w:rsid w:val="00DA52D2"/>
    <w:pPr>
      <w:spacing w:before="100" w:beforeAutospacing="1" w:after="100" w:afterAutospacing="1"/>
      <w:outlineLvl w:val="3"/>
    </w:pPr>
    <w:rPr>
      <w:rFonts w:ascii="Times New Roman" w:hAnsi="Times New Roman"/>
      <w:b/>
      <w:bCs/>
      <w:sz w:val="24"/>
      <w:szCs w:val="24"/>
    </w:rPr>
  </w:style>
  <w:style w:type="paragraph" w:styleId="Titre5">
    <w:name w:val="heading 5"/>
    <w:basedOn w:val="Normal"/>
    <w:next w:val="Retraitnormal"/>
    <w:link w:val="Titre5Car"/>
    <w:qFormat/>
    <w:rsid w:val="00AD0066"/>
    <w:pPr>
      <w:ind w:left="708"/>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DA52D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A52D2"/>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DA52D2"/>
    <w:rPr>
      <w:rFonts w:ascii="Times New Roman" w:eastAsia="Times New Roman" w:hAnsi="Times New Roman" w:cs="Times New Roman"/>
      <w:b/>
      <w:bCs/>
      <w:sz w:val="24"/>
      <w:szCs w:val="24"/>
    </w:rPr>
  </w:style>
  <w:style w:type="character" w:styleId="lev">
    <w:name w:val="Strong"/>
    <w:basedOn w:val="Policepardfaut"/>
    <w:uiPriority w:val="22"/>
    <w:qFormat/>
    <w:rsid w:val="00DA52D2"/>
    <w:rPr>
      <w:b/>
      <w:bCs/>
    </w:rPr>
  </w:style>
  <w:style w:type="paragraph" w:styleId="Paragraphedeliste">
    <w:name w:val="List Paragraph"/>
    <w:basedOn w:val="Normal"/>
    <w:qFormat/>
    <w:rsid w:val="00DA52D2"/>
    <w:pPr>
      <w:ind w:left="720"/>
      <w:contextualSpacing/>
    </w:pPr>
  </w:style>
  <w:style w:type="character" w:styleId="Accentuation">
    <w:name w:val="Emphasis"/>
    <w:basedOn w:val="Policepardfaut"/>
    <w:uiPriority w:val="20"/>
    <w:qFormat/>
    <w:rsid w:val="00DA52D2"/>
    <w:rPr>
      <w:i/>
      <w:iCs/>
    </w:rPr>
  </w:style>
  <w:style w:type="paragraph" w:styleId="Citationintense">
    <w:name w:val="Intense Quote"/>
    <w:basedOn w:val="Normal"/>
    <w:next w:val="Normal"/>
    <w:link w:val="CitationintenseCar"/>
    <w:uiPriority w:val="30"/>
    <w:qFormat/>
    <w:rsid w:val="00DA52D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DA52D2"/>
    <w:rPr>
      <w:rFonts w:ascii="Calibri" w:eastAsia="Times New Roman" w:hAnsi="Calibri" w:cs="Times New Roman"/>
      <w:b/>
      <w:bCs/>
      <w:i/>
      <w:iCs/>
      <w:color w:val="4F81BD"/>
      <w:sz w:val="20"/>
      <w:szCs w:val="20"/>
    </w:rPr>
  </w:style>
  <w:style w:type="character" w:customStyle="1" w:styleId="Titre5Car">
    <w:name w:val="Titre 5 Car"/>
    <w:basedOn w:val="Policepardfaut"/>
    <w:link w:val="Titre5"/>
    <w:rsid w:val="00AD0066"/>
    <w:rPr>
      <w:rFonts w:ascii="Calibri" w:eastAsia="Times New Roman" w:hAnsi="Calibri" w:cs="Times New Roman"/>
      <w:b/>
      <w:bCs/>
      <w:sz w:val="20"/>
      <w:szCs w:val="20"/>
      <w:lang w:eastAsia="fr-FR"/>
    </w:rPr>
  </w:style>
  <w:style w:type="paragraph" w:styleId="Retraitnormal">
    <w:name w:val="Normal Indent"/>
    <w:basedOn w:val="Normal"/>
    <w:uiPriority w:val="99"/>
    <w:unhideWhenUsed/>
    <w:rsid w:val="00AD0066"/>
    <w:pPr>
      <w:ind w:left="708"/>
    </w:pPr>
  </w:style>
  <w:style w:type="paragraph" w:styleId="Notedebasdepage">
    <w:name w:val="footnote text"/>
    <w:basedOn w:val="Normal"/>
    <w:link w:val="NotedebasdepageCar"/>
    <w:uiPriority w:val="99"/>
    <w:unhideWhenUsed/>
    <w:rsid w:val="00AD0066"/>
  </w:style>
  <w:style w:type="character" w:customStyle="1" w:styleId="NotedebasdepageCar">
    <w:name w:val="Note de bas de page Car"/>
    <w:basedOn w:val="Policepardfaut"/>
    <w:link w:val="Notedebasdepage"/>
    <w:uiPriority w:val="99"/>
    <w:rsid w:val="00AD0066"/>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AD0066"/>
    <w:rPr>
      <w:vertAlign w:val="superscript"/>
    </w:rPr>
  </w:style>
  <w:style w:type="paragraph" w:styleId="Sous-titre">
    <w:name w:val="Subtitle"/>
    <w:basedOn w:val="Normal"/>
    <w:next w:val="Normal"/>
    <w:link w:val="Sous-titreCar"/>
    <w:uiPriority w:val="11"/>
    <w:qFormat/>
    <w:rsid w:val="00AD0066"/>
    <w:pPr>
      <w:spacing w:after="60"/>
      <w:jc w:val="center"/>
      <w:outlineLvl w:val="1"/>
    </w:pPr>
    <w:rPr>
      <w:rFonts w:ascii="Cambria" w:hAnsi="Cambria"/>
      <w:sz w:val="24"/>
      <w:szCs w:val="24"/>
    </w:rPr>
  </w:style>
  <w:style w:type="character" w:customStyle="1" w:styleId="Sous-titreCar">
    <w:name w:val="Sous-titre Car"/>
    <w:basedOn w:val="Policepardfaut"/>
    <w:link w:val="Sous-titre"/>
    <w:uiPriority w:val="11"/>
    <w:rsid w:val="00AD0066"/>
    <w:rPr>
      <w:rFonts w:ascii="Cambria" w:eastAsia="Times New Roman" w:hAnsi="Cambria"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2122</Words>
  <Characters>11674</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Brousseau</cp:lastModifiedBy>
  <cp:revision>2</cp:revision>
  <cp:lastPrinted>2015-05-27T08:57:00Z</cp:lastPrinted>
  <dcterms:created xsi:type="dcterms:W3CDTF">2015-05-27T09:00:00Z</dcterms:created>
  <dcterms:modified xsi:type="dcterms:W3CDTF">2015-05-27T09:00:00Z</dcterms:modified>
</cp:coreProperties>
</file>